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Ульчского муниципального района Хабаровского края</w:t>
      </w:r>
    </w:p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1F2E" w:rsidRPr="00D36EEF" w:rsidRDefault="00A51F2E" w:rsidP="00A51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6EEF">
        <w:rPr>
          <w:rFonts w:ascii="Times New Roman" w:hAnsi="Times New Roman"/>
          <w:b/>
          <w:sz w:val="28"/>
          <w:szCs w:val="28"/>
        </w:rPr>
        <w:t>ПОСТАНОВЛЕНИЕ</w:t>
      </w:r>
    </w:p>
    <w:p w:rsidR="00A51F2E" w:rsidRDefault="00A51F2E" w:rsidP="00A51F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1F2E" w:rsidRDefault="00A51F2E" w:rsidP="00A51F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1F2E" w:rsidRPr="00DE3116" w:rsidRDefault="00B32D39" w:rsidP="00A51F2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30.10</w:t>
      </w:r>
      <w:r w:rsidR="00181BC0">
        <w:rPr>
          <w:rFonts w:ascii="Times New Roman" w:hAnsi="Times New Roman"/>
          <w:sz w:val="28"/>
          <w:szCs w:val="28"/>
          <w:u w:val="single"/>
        </w:rPr>
        <w:t>.2024</w:t>
      </w:r>
      <w:r w:rsidR="00560BF7">
        <w:rPr>
          <w:rFonts w:ascii="Times New Roman" w:hAnsi="Times New Roman"/>
          <w:sz w:val="28"/>
          <w:szCs w:val="28"/>
          <w:u w:val="single"/>
        </w:rPr>
        <w:t xml:space="preserve"> № 45</w:t>
      </w:r>
      <w:r w:rsidR="00A51F2E" w:rsidRPr="00DE3116">
        <w:rPr>
          <w:rFonts w:ascii="Times New Roman" w:hAnsi="Times New Roman"/>
          <w:sz w:val="28"/>
          <w:szCs w:val="28"/>
          <w:u w:val="single"/>
        </w:rPr>
        <w:t>-па</w:t>
      </w:r>
    </w:p>
    <w:p w:rsidR="00A51F2E" w:rsidRDefault="002A4AA1" w:rsidP="00A51F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51F2E">
        <w:rPr>
          <w:rFonts w:ascii="Times New Roman" w:hAnsi="Times New Roman"/>
          <w:sz w:val="28"/>
          <w:szCs w:val="28"/>
        </w:rPr>
        <w:t xml:space="preserve"> с.</w:t>
      </w:r>
      <w:r w:rsidR="00437E40">
        <w:rPr>
          <w:rFonts w:ascii="Times New Roman" w:hAnsi="Times New Roman"/>
          <w:sz w:val="28"/>
          <w:szCs w:val="28"/>
        </w:rPr>
        <w:t xml:space="preserve"> </w:t>
      </w:r>
      <w:r w:rsidR="00A51F2E">
        <w:rPr>
          <w:rFonts w:ascii="Times New Roman" w:hAnsi="Times New Roman"/>
          <w:sz w:val="28"/>
          <w:szCs w:val="28"/>
        </w:rPr>
        <w:t>Дуди</w:t>
      </w:r>
    </w:p>
    <w:p w:rsidR="00A51F2E" w:rsidRDefault="00A51F2E" w:rsidP="00A51F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1F2E" w:rsidRPr="004653F1" w:rsidRDefault="00A51F2E" w:rsidP="00A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E3C64">
        <w:rPr>
          <w:rFonts w:ascii="Times New Roman" w:hAnsi="Times New Roman"/>
          <w:sz w:val="28"/>
          <w:szCs w:val="28"/>
        </w:rPr>
        <w:t>Об утверждении прогноза социально-экономического развития сельского поселения «Село</w:t>
      </w:r>
      <w:proofErr w:type="gramStart"/>
      <w:r w:rsidRPr="008E3C6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8E3C64">
        <w:rPr>
          <w:rFonts w:ascii="Times New Roman" w:hAnsi="Times New Roman"/>
          <w:sz w:val="28"/>
          <w:szCs w:val="28"/>
        </w:rPr>
        <w:t xml:space="preserve">уди» Ульчского 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="00B32D39">
        <w:rPr>
          <w:rFonts w:ascii="Times New Roman" w:hAnsi="Times New Roman"/>
          <w:sz w:val="28"/>
          <w:szCs w:val="28"/>
        </w:rPr>
        <w:t>айона Хабаровского края на  2025 год и плановый период 2026-2027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3F1">
        <w:rPr>
          <w:rFonts w:ascii="Times New Roman" w:hAnsi="Times New Roman"/>
          <w:sz w:val="28"/>
          <w:szCs w:val="28"/>
        </w:rPr>
        <w:t xml:space="preserve">годы </w:t>
      </w:r>
    </w:p>
    <w:bookmarkEnd w:id="0"/>
    <w:p w:rsidR="001300F4" w:rsidRDefault="001300F4"/>
    <w:p w:rsidR="00A51F2E" w:rsidRPr="008E3C64" w:rsidRDefault="00A51F2E" w:rsidP="00A5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№ 131-ФЗ от 06.10.2003 года «Об общих принципах организации местного самоуправления в Российской Федерации», Уставом сельского поселения «Село Дуди» Ульчского муниципального района и на основании ст. 173 Бюджетного кодекса Российской Федерации, администрация сельского поселения «Село Дуди» Ульчского муниципального района</w:t>
      </w:r>
    </w:p>
    <w:p w:rsidR="00A51F2E" w:rsidRPr="008E3C64" w:rsidRDefault="00A51F2E" w:rsidP="00A51F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>ПОСТАНОВЛЯЕТ:</w:t>
      </w:r>
    </w:p>
    <w:p w:rsidR="00A51F2E" w:rsidRDefault="00A51F2E" w:rsidP="00A51F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 1. Утвердить прогноз социально-экономического развития сельского поселения «Село</w:t>
      </w:r>
      <w:proofErr w:type="gramStart"/>
      <w:r w:rsidRPr="008E3C6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8E3C64">
        <w:rPr>
          <w:rFonts w:ascii="Times New Roman" w:hAnsi="Times New Roman"/>
          <w:sz w:val="28"/>
          <w:szCs w:val="28"/>
        </w:rPr>
        <w:t xml:space="preserve">уди» Ульчского муниципального </w:t>
      </w:r>
      <w:r w:rsidR="00B32D39">
        <w:rPr>
          <w:rFonts w:ascii="Times New Roman" w:hAnsi="Times New Roman"/>
          <w:sz w:val="28"/>
          <w:szCs w:val="28"/>
        </w:rPr>
        <w:t>района Хабаровского края на 2025 год и плановый период 2026-2027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3F1">
        <w:rPr>
          <w:rFonts w:ascii="Times New Roman" w:hAnsi="Times New Roman"/>
          <w:sz w:val="28"/>
          <w:szCs w:val="28"/>
        </w:rPr>
        <w:t xml:space="preserve">годы </w:t>
      </w:r>
    </w:p>
    <w:p w:rsidR="00A51F2E" w:rsidRDefault="00A51F2E" w:rsidP="00A5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C64">
        <w:rPr>
          <w:rFonts w:ascii="Times New Roman" w:hAnsi="Times New Roman"/>
          <w:sz w:val="28"/>
          <w:szCs w:val="28"/>
        </w:rPr>
        <w:t xml:space="preserve">2. </w:t>
      </w:r>
      <w:r w:rsidRPr="00DB56A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сельского поселения</w:t>
      </w:r>
      <w:r w:rsidR="00B32D39">
        <w:rPr>
          <w:rFonts w:ascii="Times New Roman" w:hAnsi="Times New Roman"/>
          <w:sz w:val="28"/>
          <w:szCs w:val="28"/>
        </w:rPr>
        <w:t xml:space="preserve"> № 35-па от 09.07.2024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E3C64">
        <w:rPr>
          <w:rFonts w:ascii="Times New Roman" w:hAnsi="Times New Roman"/>
          <w:sz w:val="28"/>
          <w:szCs w:val="28"/>
        </w:rPr>
        <w:t>Об утверждении прогноза социально-экономического развития сельского поселения «Село</w:t>
      </w:r>
      <w:proofErr w:type="gramStart"/>
      <w:r w:rsidRPr="008E3C6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8E3C64">
        <w:rPr>
          <w:rFonts w:ascii="Times New Roman" w:hAnsi="Times New Roman"/>
          <w:sz w:val="28"/>
          <w:szCs w:val="28"/>
        </w:rPr>
        <w:t xml:space="preserve">уди» Ульчского 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="00B32D39">
        <w:rPr>
          <w:rFonts w:ascii="Times New Roman" w:hAnsi="Times New Roman"/>
          <w:sz w:val="28"/>
          <w:szCs w:val="28"/>
        </w:rPr>
        <w:t>айона Хабаровского края на  2025</w:t>
      </w:r>
      <w:r>
        <w:rPr>
          <w:rFonts w:ascii="Times New Roman" w:hAnsi="Times New Roman"/>
          <w:sz w:val="28"/>
          <w:szCs w:val="28"/>
        </w:rPr>
        <w:t xml:space="preserve"> год и плановый пери</w:t>
      </w:r>
      <w:r w:rsidR="00437E40">
        <w:rPr>
          <w:rFonts w:ascii="Times New Roman" w:hAnsi="Times New Roman"/>
          <w:sz w:val="28"/>
          <w:szCs w:val="28"/>
        </w:rPr>
        <w:t>од</w:t>
      </w:r>
      <w:r w:rsidR="00B32D39">
        <w:rPr>
          <w:rFonts w:ascii="Times New Roman" w:hAnsi="Times New Roman"/>
          <w:sz w:val="28"/>
          <w:szCs w:val="28"/>
        </w:rPr>
        <w:t xml:space="preserve"> 2026-2027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A51F2E" w:rsidRPr="008E3C64" w:rsidRDefault="00A51F2E" w:rsidP="00A5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0CF">
        <w:rPr>
          <w:rFonts w:ascii="Times New Roman" w:hAnsi="Times New Roman" w:cs="Times New Roman"/>
          <w:sz w:val="28"/>
          <w:szCs w:val="28"/>
        </w:rPr>
        <w:t>3.</w:t>
      </w:r>
      <w:r w:rsidR="00F220CF" w:rsidRPr="00F220C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листке органов местного самоуправления сельского поселения «Вестник сельского поселения», разместить в информационно-телекоммуникационной сети "Интернет" на официальном сайте</w:t>
      </w:r>
      <w:r w:rsidR="00F220CF">
        <w:rPr>
          <w:sz w:val="28"/>
          <w:szCs w:val="28"/>
        </w:rPr>
        <w:t>.</w:t>
      </w:r>
    </w:p>
    <w:p w:rsidR="00A51F2E" w:rsidRPr="008E3C64" w:rsidRDefault="00A51F2E" w:rsidP="00A51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8E3C64">
        <w:rPr>
          <w:rFonts w:ascii="Times New Roman" w:hAnsi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A51F2E" w:rsidRPr="008E3C64" w:rsidRDefault="00A51F2E" w:rsidP="00A51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8E3C64">
        <w:rPr>
          <w:rFonts w:ascii="Times New Roman" w:hAnsi="Times New Roman"/>
          <w:sz w:val="28"/>
          <w:szCs w:val="28"/>
        </w:rPr>
        <w:t>. Постановление вступает в силу после  его официального опубликования.</w:t>
      </w: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BFF" w:rsidRDefault="00B94BFF" w:rsidP="00B94B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BFF" w:rsidRDefault="002A4AA1" w:rsidP="00B94BFF">
      <w:pPr>
        <w:pStyle w:val="a3"/>
        <w:jc w:val="both"/>
        <w:rPr>
          <w:rFonts w:ascii="Times New Roman" w:hAnsi="Times New Roman"/>
          <w:sz w:val="28"/>
          <w:szCs w:val="28"/>
        </w:rPr>
        <w:sectPr w:rsidR="00B94BFF" w:rsidSect="00D44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B94BF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94BFF" w:rsidRPr="00842D1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</w:t>
      </w:r>
      <w:r w:rsidR="00B94BF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81BC0">
        <w:rPr>
          <w:rFonts w:ascii="Times New Roman" w:hAnsi="Times New Roman"/>
          <w:sz w:val="28"/>
          <w:szCs w:val="28"/>
        </w:rPr>
        <w:t>А.Д.Баранов</w:t>
      </w:r>
      <w:proofErr w:type="spellEnd"/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             </w:t>
      </w: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прогнозу социально-экономического развития </w:t>
      </w:r>
    </w:p>
    <w:p w:rsidR="00B32D39" w:rsidRDefault="00B32D39" w:rsidP="00B32D3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уди» на 2025 год и плановый период 2026-2027 годы</w:t>
      </w:r>
    </w:p>
    <w:p w:rsidR="00B32D39" w:rsidRDefault="00B32D39" w:rsidP="00B32D3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уди» Ульчского муниципального района (далее по тексту – сельское поселение).</w:t>
      </w:r>
    </w:p>
    <w:p w:rsidR="00B32D39" w:rsidRDefault="00B32D39" w:rsidP="00B32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2025 год и плановый период 2026 и 2027 годов, разработанные министерством экономического развития Российской Федерации; прогноз показателей инфляции и системы цен до 2030 года; дефляторы по видам экономической деятельности, индексы производителей на 2025-2027 годы.</w:t>
      </w:r>
      <w:proofErr w:type="gramEnd"/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Стратегической целью развития сельского поселения на 2025 год и плановый период 2026-2027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управления жилищно-коммунальным хозяйством, развитие транспортной инфраструктуры;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социальной стабильности;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основных параметров развития экономики и социальной сферы района проведена по двум вариантам:</w:t>
      </w:r>
    </w:p>
    <w:p w:rsidR="00B32D39" w:rsidRDefault="00B32D39" w:rsidP="00B32D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Консервативному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(вариант 1) – в данном варианте предполагается более глубокий спад экономики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 и более медленной перестройки производственно-логистических цепочек</w:t>
      </w:r>
      <w:r>
        <w:rPr>
          <w:rFonts w:ascii="Times New Roman" w:hAnsi="Times New Roman" w:cs="Times New Roman"/>
          <w:color w:val="000000"/>
          <w:sz w:val="28"/>
          <w:szCs w:val="28"/>
        </w:rPr>
        <w:t>. Так же прогнозируется более существенное снижение цен на экспортируемые товары. Выход инфляции на целевой уровень ожидается только к концу 2025 года.</w:t>
      </w:r>
    </w:p>
    <w:p w:rsidR="00B32D39" w:rsidRDefault="00B32D39" w:rsidP="00B32D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(вариант 2) – основан на сокращении импорта вследствие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ограничений и «добровольного отказа иностранных инвесторов от сотрудничества, потере ряда экспортных рынков и ограничении возможности переориентации поставок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Курс рубля в рамках данного сценария ослабляется в номинальном выражении темпом порядка 2% в год, в реальном выражении – остается стабильным. В прогноз закладывается постепенное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смягчение Банком России ограничений на движение капитала, введенных в феврале-марте текущего года. К концу 2024 г. инфляция выходит на целевой уровень Банка России 4%.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базовый вариант заложен ряд мер экономической политики, таких как: эффективная реализация всего комплекса мер по поддержке экономики, включая программы льготного кредитования; активное снижение ключевой ставки Банком России вслед за инфляцией;  достаточный для поддержания внутреннего спроса уровень бюджетных расходов. Предполагается, что благодаря им экономика сможет адаптироваться к новым условиям и перейти к восстановлению.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прогноз социально-экономического развития сельского поселения на 2025-2027 годы разработан путем уточнения параметров прогноза на 2024-2026 годы и добавлением параметров до 2027 года.</w:t>
      </w:r>
    </w:p>
    <w:p w:rsidR="00B32D39" w:rsidRDefault="00B32D39" w:rsidP="00B32D39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>
        <w:rPr>
          <w:b/>
          <w:szCs w:val="28"/>
        </w:rPr>
        <w:t>Демографические тенденции и уровень жизни населения.</w:t>
      </w:r>
      <w:r>
        <w:rPr>
          <w:szCs w:val="28"/>
        </w:rPr>
        <w:t xml:space="preserve"> Негативные тенденции демографического развития обусловили формирование устойчивой тенденции старения населения. </w:t>
      </w:r>
    </w:p>
    <w:p w:rsidR="00B32D39" w:rsidRDefault="00B32D39" w:rsidP="00B32D39">
      <w:pPr>
        <w:pStyle w:val="21"/>
        <w:tabs>
          <w:tab w:val="left" w:pos="180"/>
        </w:tabs>
        <w:ind w:firstLine="709"/>
        <w:jc w:val="both"/>
        <w:rPr>
          <w:szCs w:val="28"/>
        </w:rPr>
      </w:pPr>
      <w:r>
        <w:rPr>
          <w:szCs w:val="28"/>
        </w:rPr>
        <w:t xml:space="preserve"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смертности, а также миграционным оттоком населения в основном трудоспособного возраста.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что приводит к росту социальных болезней. В 2023 г. число умерших составило 0 человек, число родившихся – 0 человек. 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вариант развития демографических процессов связывается с успешной реализацией демографических программ по стимулированию рождаемости, национальных проектов. Однако, с учетом влияния миграционного фактора, коэффициент рождаемости в прогнозируемом периоде по данному варианту составит от 3,6 до 3,7 человек на 1000 населения.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Приоритетными задачами в сфере </w:t>
      </w:r>
      <w:r>
        <w:rPr>
          <w:rFonts w:ascii="Times New Roman" w:hAnsi="Times New Roman"/>
          <w:bCs/>
          <w:sz w:val="28"/>
          <w:szCs w:val="28"/>
        </w:rPr>
        <w:t>молодежной политики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станут: </w:t>
      </w:r>
    </w:p>
    <w:p w:rsidR="00B32D39" w:rsidRDefault="00B32D39" w:rsidP="00B32D39">
      <w:pPr>
        <w:pStyle w:val="a9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просветительской работы с молодежью, инновационных образовательных и воспитательных технологий, создание условий для самообразования молодежи;</w:t>
      </w:r>
    </w:p>
    <w:p w:rsidR="00B32D39" w:rsidRDefault="00B32D39" w:rsidP="00B32D39">
      <w:pPr>
        <w:pStyle w:val="a9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здорового образа жизни, экологической культуры, повышение </w:t>
      </w:r>
      <w:proofErr w:type="gramStart"/>
      <w:r>
        <w:rPr>
          <w:rFonts w:ascii="Times New Roman" w:hAnsi="Times New Roman"/>
          <w:sz w:val="28"/>
          <w:szCs w:val="28"/>
        </w:rPr>
        <w:t>уровня культуры безопасности жизнедеятельности молодежи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32D39" w:rsidRDefault="00B32D39" w:rsidP="00B32D39">
      <w:pPr>
        <w:pStyle w:val="a9"/>
        <w:tabs>
          <w:tab w:val="left" w:pos="180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B32D39" w:rsidRDefault="00B32D39" w:rsidP="00B32D39">
      <w:pPr>
        <w:pStyle w:val="a9"/>
        <w:tabs>
          <w:tab w:val="left" w:pos="1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молодых семей, направленных на формирование ценностей семейной культуры, повышение рождаемости и всестороннюю поддержку молодых семей.</w:t>
      </w:r>
    </w:p>
    <w:p w:rsidR="00B32D39" w:rsidRDefault="00B32D39" w:rsidP="00B32D39">
      <w:pPr>
        <w:pStyle w:val="a4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Оборот по видам экономической деятельности и промышленное производство.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val="x-none"/>
        </w:rPr>
        <w:t xml:space="preserve">В сельском поселении в </w:t>
      </w:r>
      <w:r>
        <w:rPr>
          <w:rFonts w:ascii="Times New Roman" w:hAnsi="Times New Roman" w:cs="Times New Roman"/>
        </w:rPr>
        <w:t>настоящее время</w:t>
      </w:r>
      <w:r>
        <w:rPr>
          <w:rFonts w:ascii="Times New Roman" w:hAnsi="Times New Roman" w:cs="Times New Roman"/>
          <w:lang w:val="x-none"/>
        </w:rPr>
        <w:t xml:space="preserve"> </w:t>
      </w:r>
      <w:r>
        <w:rPr>
          <w:rFonts w:ascii="Times New Roman" w:hAnsi="Times New Roman" w:cs="Times New Roman"/>
        </w:rPr>
        <w:t xml:space="preserve">услуги </w:t>
      </w:r>
      <w:r>
        <w:rPr>
          <w:rFonts w:ascii="Times New Roman" w:hAnsi="Times New Roman" w:cs="Times New Roman"/>
          <w:lang w:val="x-none"/>
        </w:rPr>
        <w:t>по производству</w:t>
      </w:r>
      <w:r>
        <w:rPr>
          <w:rFonts w:ascii="Times New Roman" w:hAnsi="Times New Roman" w:cs="Times New Roman"/>
        </w:rPr>
        <w:t xml:space="preserve"> и реализации </w:t>
      </w:r>
      <w:r>
        <w:rPr>
          <w:rFonts w:ascii="Times New Roman" w:hAnsi="Times New Roman" w:cs="Times New Roman"/>
          <w:lang w:val="x-none"/>
        </w:rPr>
        <w:t xml:space="preserve"> электроэнергии, тепловой энергии</w:t>
      </w:r>
      <w:r>
        <w:rPr>
          <w:rFonts w:ascii="Times New Roman" w:hAnsi="Times New Roman" w:cs="Times New Roman"/>
        </w:rPr>
        <w:t>, подъему и реализации</w:t>
      </w:r>
      <w:r>
        <w:rPr>
          <w:rFonts w:ascii="Times New Roman" w:hAnsi="Times New Roman" w:cs="Times New Roman"/>
          <w:lang w:val="x-none"/>
        </w:rPr>
        <w:t xml:space="preserve"> </w:t>
      </w:r>
      <w:r>
        <w:rPr>
          <w:rFonts w:ascii="Times New Roman" w:hAnsi="Times New Roman" w:cs="Times New Roman"/>
        </w:rPr>
        <w:t xml:space="preserve">холодной </w:t>
      </w:r>
      <w:r>
        <w:rPr>
          <w:rFonts w:ascii="Times New Roman" w:hAnsi="Times New Roman" w:cs="Times New Roman"/>
          <w:lang w:val="x-none"/>
        </w:rPr>
        <w:t xml:space="preserve">воды </w:t>
      </w:r>
      <w:r>
        <w:rPr>
          <w:rFonts w:ascii="Times New Roman" w:hAnsi="Times New Roman" w:cs="Times New Roman"/>
        </w:rPr>
        <w:t xml:space="preserve">оказывает: </w:t>
      </w:r>
      <w:r>
        <w:rPr>
          <w:rFonts w:ascii="Times New Roman" w:hAnsi="Times New Roman" w:cs="Times New Roman"/>
          <w:lang w:val="x-none"/>
        </w:rPr>
        <w:t>ООО «</w:t>
      </w:r>
      <w:proofErr w:type="spellStart"/>
      <w:r>
        <w:rPr>
          <w:rFonts w:ascii="Times New Roman" w:hAnsi="Times New Roman" w:cs="Times New Roman"/>
        </w:rPr>
        <w:t>Савэнерго</w:t>
      </w:r>
      <w:proofErr w:type="spellEnd"/>
      <w:r>
        <w:rPr>
          <w:rFonts w:ascii="Times New Roman" w:hAnsi="Times New Roman" w:cs="Times New Roman"/>
          <w:lang w:val="x-none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B32D39" w:rsidRDefault="00B32D39" w:rsidP="00B3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Индекс производства в 2023 году составил 122% к уровню 2022 года.</w:t>
      </w:r>
    </w:p>
    <w:p w:rsidR="00B32D39" w:rsidRDefault="00B32D39" w:rsidP="00B32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тариф на электроэнергию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35,59 </w:t>
      </w:r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 руб./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>кВт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>.ч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распределение электроэнергии и воды на текущий год составит – 27188,46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2D39" w:rsidRDefault="00B32D39" w:rsidP="00B32D39">
      <w:pPr>
        <w:pStyle w:val="a4"/>
        <w:ind w:firstLine="709"/>
        <w:rPr>
          <w:rFonts w:ascii="Times New Roman" w:hAnsi="Times New Roman" w:cs="Times New Roman"/>
          <w:color w:val="FF0000"/>
          <w:spacing w:val="-5"/>
        </w:rPr>
      </w:pPr>
      <w:r>
        <w:rPr>
          <w:rFonts w:ascii="Times New Roman" w:hAnsi="Times New Roman" w:cs="Times New Roman"/>
          <w:b/>
          <w:color w:val="000000"/>
        </w:rPr>
        <w:t>Рыболовство и рыбоводство.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Рыбная отрасль играет значимую роль в формировании продовольственного фонда </w:t>
      </w:r>
      <w:r>
        <w:rPr>
          <w:rFonts w:ascii="Times New Roman" w:hAnsi="Times New Roman" w:cs="Times New Roman"/>
          <w:color w:val="000000"/>
          <w:spacing w:val="4"/>
        </w:rPr>
        <w:t xml:space="preserve"> сельского поселения, </w:t>
      </w:r>
      <w:r>
        <w:rPr>
          <w:rFonts w:ascii="Times New Roman" w:hAnsi="Times New Roman" w:cs="Times New Roman"/>
          <w:color w:val="000000"/>
          <w:spacing w:val="3"/>
        </w:rPr>
        <w:t xml:space="preserve">носит социально – значимый характер. </w:t>
      </w:r>
      <w:r>
        <w:rPr>
          <w:rFonts w:ascii="Times New Roman" w:hAnsi="Times New Roman" w:cs="Times New Roman"/>
          <w:color w:val="000000"/>
          <w:spacing w:val="-5"/>
        </w:rPr>
        <w:t xml:space="preserve">В сельском поселении имеют рыбопромысловые участки: СППССК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Китрин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 ООО ДВ Ресурс</w:t>
      </w:r>
      <w:proofErr w:type="gramStart"/>
      <w:r>
        <w:rPr>
          <w:rFonts w:ascii="Times New Roman" w:hAnsi="Times New Roman" w:cs="Times New Roman"/>
          <w:color w:val="000000"/>
          <w:spacing w:val="-5"/>
        </w:rPr>
        <w:t>,«</w:t>
      </w:r>
      <w:proofErr w:type="spellStart"/>
      <w:proofErr w:type="gramEnd"/>
      <w:r>
        <w:rPr>
          <w:rFonts w:ascii="Times New Roman" w:hAnsi="Times New Roman" w:cs="Times New Roman"/>
          <w:color w:val="000000"/>
          <w:spacing w:val="-5"/>
        </w:rPr>
        <w:t>Рыбторг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-ДВ»,ФГБУ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Главрыбвод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ОООДВМоре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Ресурс, СППССК «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Саркиданка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»,ТСО КМНС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Аджор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, ООО «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Скалопс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>».</w:t>
      </w:r>
    </w:p>
    <w:p w:rsidR="00B32D39" w:rsidRDefault="00B32D39" w:rsidP="00B3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2017 года из-за чрезмерной промысловой нагрузки в устье реки Амур, на территории Ульчского района сложилась критическая ситуация по вылову рыб лососевых пород. Порядка 80% квот на вылов рыбы приходится на Николаевский муниципальный район (устье Амура и Лиман). Методы добычи рыбопромышленниками Николаевского района оставляют мизерные шансы лососевым и корюшковым породам рыб пройти к местам основного нереста в Ульчском муниципальном районе.                                                   </w:t>
      </w:r>
    </w:p>
    <w:p w:rsidR="00B32D39" w:rsidRDefault="00B32D39" w:rsidP="00B3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введением дополнительных ограничительных мер с 2022 года на территории сельских поселений, находящихся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мгунь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осуществляется промышленный вылов кеты осенней. Запрет на промышленный вылов данного вида лососевых повлек сокращение количества действующих предприятий, численность занятых в рыбной отрасли.</w:t>
      </w:r>
    </w:p>
    <w:p w:rsidR="00B32D39" w:rsidRDefault="00B32D39" w:rsidP="00B32D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на снижение поступления налогов повлияло уменьшение численности работающих в отрасли в связи с сокращением срока путины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D39" w:rsidRDefault="00B32D39" w:rsidP="00B32D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Исходя из имеющейся ресурсной базы в 2024 году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объем добычи (вылова) водных биологических ресурсов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составит 80 % к уровню 2023года.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D39" w:rsidRDefault="00B32D39" w:rsidP="00B32D39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Лесной комплекс. </w:t>
      </w:r>
      <w:r>
        <w:rPr>
          <w:rFonts w:ascii="Times New Roman" w:hAnsi="Times New Roman" w:cs="Times New Roman"/>
        </w:rPr>
        <w:t>В 2023 году индекс производства по виду экономической деятельности «Обработка древесины и производство изделий из дерева» составил 129% к уровню 2022 года.</w:t>
      </w:r>
    </w:p>
    <w:p w:rsidR="00B32D39" w:rsidRDefault="00B32D39" w:rsidP="00B32D39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4"/>
        </w:rPr>
        <w:t>Сохраняется</w:t>
      </w:r>
      <w:r>
        <w:rPr>
          <w:rFonts w:ascii="Times New Roman" w:hAnsi="Times New Roman" w:cs="Times New Roman"/>
          <w:color w:val="000004"/>
          <w:lang w:val="en-US"/>
        </w:rPr>
        <w:t> </w:t>
      </w:r>
      <w:r>
        <w:rPr>
          <w:rFonts w:ascii="Times New Roman" w:hAnsi="Times New Roman" w:cs="Times New Roman"/>
          <w:color w:val="000004"/>
        </w:rPr>
        <w:t>сырьевая</w:t>
      </w:r>
      <w:r>
        <w:rPr>
          <w:rFonts w:ascii="Times New Roman" w:hAnsi="Times New Roman" w:cs="Times New Roman"/>
          <w:color w:val="000004"/>
          <w:lang w:val="en-US"/>
        </w:rPr>
        <w:t> </w:t>
      </w:r>
      <w:r>
        <w:rPr>
          <w:rFonts w:ascii="Times New Roman" w:hAnsi="Times New Roman" w:cs="Times New Roman"/>
          <w:color w:val="000004"/>
        </w:rPr>
        <w:t>направленность</w:t>
      </w:r>
      <w:r>
        <w:rPr>
          <w:rFonts w:ascii="Times New Roman" w:hAnsi="Times New Roman" w:cs="Times New Roman"/>
          <w:color w:val="000004"/>
          <w:lang w:val="en-US"/>
        </w:rPr>
        <w:t> </w:t>
      </w:r>
      <w:r>
        <w:rPr>
          <w:rFonts w:ascii="Times New Roman" w:hAnsi="Times New Roman" w:cs="Times New Roman"/>
          <w:color w:val="000004"/>
        </w:rPr>
        <w:t>отрасли</w:t>
      </w:r>
      <w:r>
        <w:rPr>
          <w:rFonts w:ascii="Times New Roman" w:hAnsi="Times New Roman" w:cs="Times New Roman"/>
          <w:color w:val="101215"/>
        </w:rPr>
        <w:t xml:space="preserve">, </w:t>
      </w:r>
      <w:r>
        <w:rPr>
          <w:rFonts w:ascii="Times New Roman" w:hAnsi="Times New Roman" w:cs="Times New Roman"/>
          <w:color w:val="000004"/>
        </w:rPr>
        <w:t>деревообрабатывающие мощности не р</w:t>
      </w:r>
      <w:r>
        <w:rPr>
          <w:rFonts w:ascii="Times New Roman" w:hAnsi="Times New Roman" w:cs="Times New Roman"/>
          <w:color w:val="101215"/>
        </w:rPr>
        <w:t>а</w:t>
      </w:r>
      <w:r>
        <w:rPr>
          <w:rFonts w:ascii="Times New Roman" w:hAnsi="Times New Roman" w:cs="Times New Roman"/>
          <w:color w:val="000004"/>
        </w:rPr>
        <w:t>звиты</w:t>
      </w:r>
      <w:r>
        <w:rPr>
          <w:rFonts w:ascii="Times New Roman" w:hAnsi="Times New Roman" w:cs="Times New Roman"/>
          <w:color w:val="101215"/>
        </w:rPr>
        <w:t xml:space="preserve">, </w:t>
      </w:r>
      <w:r>
        <w:rPr>
          <w:rFonts w:ascii="Times New Roman" w:hAnsi="Times New Roman" w:cs="Times New Roman"/>
          <w:color w:val="000004"/>
        </w:rPr>
        <w:t>в реа</w:t>
      </w:r>
      <w:r>
        <w:rPr>
          <w:rFonts w:ascii="Times New Roman" w:hAnsi="Times New Roman" w:cs="Times New Roman"/>
          <w:color w:val="101215"/>
        </w:rPr>
        <w:t>л</w:t>
      </w:r>
      <w:r>
        <w:rPr>
          <w:rFonts w:ascii="Times New Roman" w:hAnsi="Times New Roman" w:cs="Times New Roman"/>
          <w:color w:val="000004"/>
        </w:rPr>
        <w:t>и</w:t>
      </w:r>
      <w:r>
        <w:rPr>
          <w:rFonts w:ascii="Times New Roman" w:hAnsi="Times New Roman" w:cs="Times New Roman"/>
          <w:color w:val="101215"/>
        </w:rPr>
        <w:t>з</w:t>
      </w:r>
      <w:r>
        <w:rPr>
          <w:rFonts w:ascii="Times New Roman" w:hAnsi="Times New Roman" w:cs="Times New Roman"/>
          <w:color w:val="000004"/>
        </w:rPr>
        <w:t>ации готово</w:t>
      </w:r>
      <w:r>
        <w:rPr>
          <w:rFonts w:ascii="Times New Roman" w:hAnsi="Times New Roman" w:cs="Times New Roman"/>
          <w:color w:val="101215"/>
        </w:rPr>
        <w:t xml:space="preserve">й </w:t>
      </w:r>
      <w:r>
        <w:rPr>
          <w:rFonts w:ascii="Times New Roman" w:hAnsi="Times New Roman" w:cs="Times New Roman"/>
          <w:color w:val="000004"/>
        </w:rPr>
        <w:t>про</w:t>
      </w:r>
      <w:r>
        <w:rPr>
          <w:rFonts w:ascii="Times New Roman" w:hAnsi="Times New Roman" w:cs="Times New Roman"/>
          <w:color w:val="101215"/>
        </w:rPr>
        <w:t>ду</w:t>
      </w:r>
      <w:r>
        <w:rPr>
          <w:rFonts w:ascii="Times New Roman" w:hAnsi="Times New Roman" w:cs="Times New Roman"/>
          <w:color w:val="000004"/>
        </w:rPr>
        <w:t>кции преобладают необработанные лесоматериалы.</w:t>
      </w:r>
      <w:r>
        <w:rPr>
          <w:rFonts w:ascii="Times New Roman" w:hAnsi="Times New Roman" w:cs="Times New Roman"/>
        </w:rPr>
        <w:t xml:space="preserve"> В настоящее время  претерпевает трансформационные процессы, связанные с реализацией государственной стратегии, направленной на переход к более рациональным и эффективным способам освоения лесных ресурсов России.  Деятельность осуществляет </w:t>
      </w:r>
      <w:r>
        <w:rPr>
          <w:rFonts w:ascii="Times New Roman" w:hAnsi="Times New Roman" w:cs="Times New Roman"/>
          <w:color w:val="000000"/>
        </w:rPr>
        <w:t>предприятие малого бизнес</w:t>
      </w:r>
      <w:proofErr w:type="gramStart"/>
      <w:r>
        <w:rPr>
          <w:rFonts w:ascii="Times New Roman" w:hAnsi="Times New Roman" w:cs="Times New Roman"/>
          <w:color w:val="000000"/>
        </w:rPr>
        <w:t>а ООО</w:t>
      </w:r>
      <w:proofErr w:type="gramEnd"/>
      <w:r>
        <w:rPr>
          <w:rFonts w:ascii="Times New Roman" w:hAnsi="Times New Roman" w:cs="Times New Roman"/>
          <w:color w:val="000000"/>
        </w:rPr>
        <w:t xml:space="preserve"> «Волна»</w:t>
      </w:r>
      <w:r>
        <w:rPr>
          <w:rFonts w:ascii="Times New Roman" w:hAnsi="Times New Roman" w:cs="Times New Roman"/>
        </w:rPr>
        <w:t>.</w:t>
      </w:r>
    </w:p>
    <w:p w:rsidR="00B32D39" w:rsidRDefault="00B32D39" w:rsidP="00B32D39">
      <w:pPr>
        <w:pStyle w:val="a4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Сельское хозяйство.</w:t>
      </w:r>
      <w:r>
        <w:rPr>
          <w:rFonts w:ascii="Times New Roman" w:hAnsi="Times New Roman" w:cs="Times New Roman"/>
          <w:color w:val="000000"/>
        </w:rPr>
        <w:t xml:space="preserve"> Сельскохозяйственное производство в сельском поселении ведется в рисковых природно-климатических условиях и представлено владельцами личных подсобных хозяйств. На 01.01. 2024 года в хозяйствах поселения среднегодовая численность поголовья составила 0 головы крупного рогатого скота, свиней – 0, кур – 20. Согласно прогнозу производства сельскохозяйственной продукции на 2025-2027 годы ожидается снижение продукции сельского хозяйства в натуральном выражении. </w:t>
      </w:r>
    </w:p>
    <w:p w:rsidR="00B32D39" w:rsidRDefault="00B32D39" w:rsidP="00B32D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 и доходы населения.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Процессы формирования и использования доходов населения сельского поселения находят свое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выражение в показателях оборота по видам экономической деятельности на душу населения, поступление в его распоряжение ресурсов в денежной и натуральной формах, получаемые за счет трудовой активности, использования  имущества в виде трансфертов, и направление их на удовлетворение личных потребностей, цели производства и накопление.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2023 году в структуре доходов населения наибольшую долю занимала оплата труда (77,6%), социальные выплаты,  пособия и социальная помощь составляет 10,4%,  1,8% - доходы от предпринимательской деятельности и прочие доходы. В 2025-2027 годах будет происходить увеличение основных источников доходов населения: заработной платы, пособий и пенсий за счет увеличения МРОТ и индексаций.</w:t>
      </w:r>
    </w:p>
    <w:p w:rsidR="00B32D39" w:rsidRDefault="00B32D39" w:rsidP="00B32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социальных пенсий, предусмотренных ст. 18 Федерального закона от 15 декабря 2001 года № 166-ФЗ «О государственном пенсионном обеспечении в Российской Федерации» индексируются.  Размер коэффициента индексации устанавливается федеральным законом.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2D39" w:rsidRDefault="00B32D39" w:rsidP="00B3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 и занятость населения.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</w:t>
      </w:r>
      <w:r>
        <w:rPr>
          <w:rFonts w:ascii="Times New Roman" w:hAnsi="Times New Roman" w:cs="Times New Roman"/>
          <w:sz w:val="28"/>
          <w:szCs w:val="28"/>
        </w:rPr>
        <w:tab/>
        <w:t xml:space="preserve">Сравнительный анализ возрастной структуры трудовых ресурсов сельского поселения позволяет сделать выводы об их незначительном увеличении на прогнозируемый период. </w:t>
      </w:r>
    </w:p>
    <w:p w:rsidR="00B32D39" w:rsidRDefault="00B32D39" w:rsidP="00B3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занятого населения в сельском поселении в прогнозируемый период 2025-2027гг. останется на прежнем уровне 2023 года и составит 46 человек. Численность официально зарегистрированных безработных с назначением социальных выплат составила в 2023 году 9 человек. Необходимо отметить, что профессиональный уровень безработных граждан, состоящих на учете в службе занятости, не соответствует сегодняшним требованиям рынка труда. </w:t>
      </w:r>
    </w:p>
    <w:p w:rsidR="00B32D39" w:rsidRDefault="00B32D39" w:rsidP="00B32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Малое предпринимательство. </w:t>
      </w:r>
      <w:r>
        <w:rPr>
          <w:rFonts w:ascii="Times New Roman" w:hAnsi="Times New Roman" w:cs="Times New Roman"/>
          <w:sz w:val="28"/>
          <w:szCs w:val="28"/>
        </w:rPr>
        <w:t>Развитие малого, среднего предпринимательства – один из постоянных приоритетов социально-экономического развития поселения.</w:t>
      </w:r>
    </w:p>
    <w:p w:rsidR="00B32D39" w:rsidRDefault="00B32D39" w:rsidP="00B32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 в бюджеты всех уровней. 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B32D39" w:rsidRDefault="00B32D39" w:rsidP="00B32D39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01.01.2024 года, по данным Единого реестра субъектов малого и среднего предпринимательства, на территории сельского поселения осуществляют деятельность</w:t>
      </w:r>
      <w:r>
        <w:t> </w:t>
      </w:r>
      <w:r>
        <w:rPr>
          <w:sz w:val="28"/>
          <w:szCs w:val="28"/>
        </w:rPr>
        <w:t>2 субъекта малого и</w:t>
      </w:r>
      <w:r>
        <w:rPr>
          <w:lang w:val="en-US"/>
        </w:rPr>
        <w:t> </w:t>
      </w:r>
      <w:r>
        <w:rPr>
          <w:sz w:val="28"/>
          <w:szCs w:val="28"/>
        </w:rPr>
        <w:t xml:space="preserve">среднего предпринимательства в сфере торговли. </w:t>
      </w:r>
    </w:p>
    <w:p w:rsidR="00B32D39" w:rsidRDefault="00B32D39" w:rsidP="00B32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Развитие социальной сферы.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основных приоритетов деятельности органов исполнительной власти в 2025-2027 годы остается реализация эффективной социальной и демографической политики,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Основные усилия системы здравоохранения  направлены на развитие первичной медико-санитарной помощи, охрану материнства и детства, борьбу с социально-значимыми заболеваниями.  </w:t>
      </w:r>
    </w:p>
    <w:p w:rsidR="00B32D39" w:rsidRDefault="00B32D39" w:rsidP="00B32D39">
      <w:pPr>
        <w:pStyle w:val="a4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Развитие инвестиционных процессов</w:t>
      </w:r>
      <w:r>
        <w:rPr>
          <w:rFonts w:ascii="Times New Roman" w:hAnsi="Times New Roman" w:cs="Times New Roman"/>
        </w:rPr>
        <w:t xml:space="preserve"> главным образом зависит от эффективности реализации муниципальных программ, а также Стратегии социально-экономического развития Ульчского муниципального района. Бюджетные средства в настоящее время остаются основным источником инвестирования социальной сферы и инфраструктуры сельского поселения. </w:t>
      </w:r>
    </w:p>
    <w:p w:rsidR="00B32D39" w:rsidRDefault="00B32D39" w:rsidP="00B32D39">
      <w:pPr>
        <w:pStyle w:val="a4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планом </w:t>
      </w:r>
      <w:r>
        <w:rPr>
          <w:rFonts w:ascii="Times New Roman" w:hAnsi="Times New Roman"/>
        </w:rPr>
        <w:t xml:space="preserve">создания инвестиционных объектов и объектов инфраструктуры в Ульчском муниципальном районе на период до 2030 года, на территории сельского поселения запланирована реализация следующих проектов: </w:t>
      </w:r>
    </w:p>
    <w:p w:rsidR="00B32D39" w:rsidRDefault="00B32D39" w:rsidP="00B32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инвестиционное предложение «Проектирование и строительство водозаборной скважины с насосной станцией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Дуди Ульчского района» период  2026-2030 гг.</w:t>
      </w:r>
    </w:p>
    <w:p w:rsidR="00B32D39" w:rsidRDefault="00B32D39" w:rsidP="00B32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инвестиционное предложение «Строительство объекта по обработке, обезвреживанию и захоронению ТКО» период: 2019-2028 гг., </w:t>
      </w:r>
    </w:p>
    <w:p w:rsidR="00B32D39" w:rsidRDefault="00B32D39" w:rsidP="00B32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рекультивация санкционированных свалок твердых бытовых отходов, период 2020-2025 гг.</w:t>
      </w:r>
    </w:p>
    <w:p w:rsidR="00B32D39" w:rsidRDefault="00B32D39" w:rsidP="00B32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«Обеспечение качества жилищно-коммунальных услуг на территории Ульчского муниципального района Хабаровского края» и планируемых для выполнения в 2021-2030 годы на территории сельского поселения запланировано: </w:t>
      </w:r>
    </w:p>
    <w:p w:rsidR="00B32D39" w:rsidRDefault="00B32D39" w:rsidP="00B32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капитального ремонта дизель-генераторов мощностью 80 кВт и оборудования на ДЭС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</w:t>
      </w:r>
      <w:proofErr w:type="spellEnd"/>
      <w:r>
        <w:rPr>
          <w:rFonts w:ascii="Times New Roman" w:hAnsi="Times New Roman" w:cs="Times New Roman"/>
          <w:sz w:val="28"/>
          <w:szCs w:val="28"/>
        </w:rPr>
        <w:t>.(2023-2025 гг.)</w:t>
      </w:r>
    </w:p>
    <w:p w:rsidR="00B32D39" w:rsidRDefault="00B32D39" w:rsidP="00B32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дизель-генератора мощностью 200 кВт и оборудования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</w:t>
      </w:r>
      <w:proofErr w:type="spellEnd"/>
      <w:r>
        <w:rPr>
          <w:rFonts w:ascii="Times New Roman" w:hAnsi="Times New Roman" w:cs="Times New Roman"/>
          <w:sz w:val="28"/>
          <w:szCs w:val="28"/>
        </w:rPr>
        <w:t>.(2023-2025 гг.)</w:t>
      </w:r>
    </w:p>
    <w:p w:rsidR="00B32D39" w:rsidRDefault="00B32D39" w:rsidP="00B32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положения. </w:t>
      </w:r>
      <w:r>
        <w:rPr>
          <w:rFonts w:ascii="Times New Roman" w:hAnsi="Times New Roman" w:cs="Times New Roman"/>
          <w:sz w:val="28"/>
          <w:szCs w:val="28"/>
        </w:rPr>
        <w:t>Настоящий прогноз отражает современное видение проблем по социально-экономическому развитию Ульчского муниципального района до 2027 года. В целях минимизации рисков несбалансированности бюджета сельского поселения «Село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уди» Ульчского муниципального района базовый вариант среднесрочного прогноза предлагается использовать в качестве основного для разработки параметров бюджета сельского поселения на 2025 год и плановый период 2026-2027 годов.</w:t>
      </w:r>
    </w:p>
    <w:p w:rsidR="00B32D39" w:rsidRPr="00B32D39" w:rsidRDefault="00B32D39" w:rsidP="00B32D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32D39" w:rsidRPr="00B32D39">
          <w:pgSz w:w="11906" w:h="16838"/>
          <w:pgMar w:top="1134" w:right="566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Достижение прогнозных показателей социально-экономического развития района должно быть обеспечено согласованными действиями органов местного самоуправления, как сельского поселения, так и района, позволяющими активизировать все факторы, обеспечивающие условия для динамичного роста экономики, устойчивого повышения жизненного уровня граждан, сбалансированного решения узловых проблем сельского поселения</w:t>
      </w:r>
    </w:p>
    <w:p w:rsidR="00B32D39" w:rsidRDefault="00B32D39" w:rsidP="00B32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2D39" w:rsidSect="00B32D39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B32D39" w:rsidRDefault="00B32D39" w:rsidP="00B32D39">
      <w:pPr>
        <w:tabs>
          <w:tab w:val="left" w:pos="12109"/>
        </w:tabs>
        <w:spacing w:after="0" w:line="240" w:lineRule="auto"/>
      </w:pPr>
      <w:bookmarkStart w:id="1" w:name="RANGE!A1:M106"/>
      <w:bookmarkStart w:id="2" w:name="RANGE!A1:P109"/>
      <w:bookmarkEnd w:id="1"/>
      <w:bookmarkEnd w:id="2"/>
    </w:p>
    <w:p w:rsidR="00B32D39" w:rsidRDefault="00B32D39" w:rsidP="00B32D39">
      <w:pPr>
        <w:tabs>
          <w:tab w:val="left" w:pos="8935"/>
        </w:tabs>
        <w:spacing w:after="0" w:line="240" w:lineRule="auto"/>
        <w:rPr>
          <w:rFonts w:cs="Times New Roman"/>
          <w:lang w:eastAsia="en-US"/>
        </w:rPr>
      </w:pPr>
      <w:r>
        <w:tab/>
      </w:r>
    </w:p>
    <w:tbl>
      <w:tblPr>
        <w:tblW w:w="15271" w:type="dxa"/>
        <w:tblInd w:w="108" w:type="dxa"/>
        <w:tblLook w:val="04A0" w:firstRow="1" w:lastRow="0" w:firstColumn="1" w:lastColumn="0" w:noHBand="0" w:noVBand="1"/>
      </w:tblPr>
      <w:tblGrid>
        <w:gridCol w:w="2956"/>
        <w:gridCol w:w="1805"/>
        <w:gridCol w:w="996"/>
        <w:gridCol w:w="996"/>
        <w:gridCol w:w="1123"/>
        <w:gridCol w:w="1123"/>
        <w:gridCol w:w="1086"/>
        <w:gridCol w:w="1123"/>
        <w:gridCol w:w="2826"/>
        <w:gridCol w:w="1237"/>
      </w:tblGrid>
      <w:tr w:rsidR="00B32D39" w:rsidTr="00B32D39">
        <w:trPr>
          <w:trHeight w:val="288"/>
        </w:trPr>
        <w:tc>
          <w:tcPr>
            <w:tcW w:w="2956" w:type="dxa"/>
            <w:vMerge w:val="restart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5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3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6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trHeight w:val="1965"/>
        </w:trPr>
        <w:tc>
          <w:tcPr>
            <w:tcW w:w="0" w:type="auto"/>
            <w:vMerge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5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6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6" w:type="dxa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55" w:type="dxa"/>
            <w:gridSpan w:val="4"/>
            <w:shd w:val="clear" w:color="auto" w:fill="FFFFFF"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FFFFFF"/>
            <w:noWrap/>
            <w:vAlign w:val="center"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 сельского поселения "Село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уди" Ульчского муниципального района</w:t>
            </w:r>
          </w:p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от______________№</w:t>
            </w:r>
          </w:p>
        </w:tc>
        <w:tc>
          <w:tcPr>
            <w:tcW w:w="1237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32D39" w:rsidRDefault="00B32D39" w:rsidP="00B32D39">
      <w:pPr>
        <w:rPr>
          <w:rFonts w:ascii="Times New Roman" w:hAnsi="Times New Roman" w:cs="Times New Roman"/>
        </w:rPr>
      </w:pPr>
    </w:p>
    <w:p w:rsidR="00B32D39" w:rsidRDefault="00B32D39" w:rsidP="00B32D39">
      <w:pPr>
        <w:rPr>
          <w:rFonts w:ascii="Times New Roman" w:hAnsi="Times New Roman" w:cs="Times New Roman"/>
        </w:rPr>
      </w:pPr>
    </w:p>
    <w:p w:rsidR="00B32D39" w:rsidRDefault="00B32D39" w:rsidP="00B32D39">
      <w:pPr>
        <w:tabs>
          <w:tab w:val="left" w:pos="1145"/>
        </w:tabs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2837"/>
        <w:gridCol w:w="1897"/>
        <w:gridCol w:w="1041"/>
        <w:gridCol w:w="1041"/>
        <w:gridCol w:w="1110"/>
        <w:gridCol w:w="1082"/>
        <w:gridCol w:w="1082"/>
        <w:gridCol w:w="1082"/>
        <w:gridCol w:w="1136"/>
        <w:gridCol w:w="2151"/>
      </w:tblGrid>
      <w:tr w:rsidR="00B32D39" w:rsidTr="00B32D39">
        <w:trPr>
          <w:trHeight w:val="348"/>
        </w:trPr>
        <w:tc>
          <w:tcPr>
            <w:tcW w:w="11172" w:type="dxa"/>
            <w:gridSpan w:val="8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</w:t>
            </w:r>
          </w:p>
        </w:tc>
        <w:tc>
          <w:tcPr>
            <w:tcW w:w="1136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trHeight w:val="288"/>
        </w:trPr>
        <w:tc>
          <w:tcPr>
            <w:tcW w:w="11172" w:type="dxa"/>
            <w:gridSpan w:val="8"/>
            <w:vMerge w:val="restart"/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сельского поселения "Село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уди"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год и плановый период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2026 - 2027 годы</w:t>
            </w:r>
          </w:p>
        </w:tc>
        <w:tc>
          <w:tcPr>
            <w:tcW w:w="1136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trHeight w:val="510"/>
        </w:trPr>
        <w:tc>
          <w:tcPr>
            <w:tcW w:w="0" w:type="auto"/>
            <w:gridSpan w:val="8"/>
            <w:vMerge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trHeight w:val="360"/>
        </w:trPr>
        <w:tc>
          <w:tcPr>
            <w:tcW w:w="2837" w:type="dxa"/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7" w:type="dxa"/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6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1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trHeight w:val="300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</w:tr>
      <w:tr w:rsidR="00B32D39" w:rsidTr="00B32D3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B32D39" w:rsidTr="00B32D39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вариант 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вариант 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вариант 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вариант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вариант 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вариант 2</w:t>
            </w:r>
          </w:p>
        </w:tc>
      </w:tr>
      <w:tr w:rsidR="00B32D39" w:rsidTr="00B32D39">
        <w:trPr>
          <w:trHeight w:val="276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Демографические показатели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876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постоянного населения (среднегодовая)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</w:tr>
      <w:tr w:rsidR="00B32D39" w:rsidTr="00B32D39">
        <w:trPr>
          <w:trHeight w:val="97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B32D39" w:rsidTr="00B32D39">
        <w:trPr>
          <w:trHeight w:val="91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рожд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32D39" w:rsidTr="00B32D39">
        <w:trPr>
          <w:trHeight w:val="8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смерт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естественного прироста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миграционного прироста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Производство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2.1. Выпуск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13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товаров и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68842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63582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66169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68685</w:t>
            </w:r>
          </w:p>
        </w:tc>
      </w:tr>
      <w:tr w:rsidR="00B32D39" w:rsidTr="00B32D39">
        <w:trPr>
          <w:trHeight w:val="144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Индекс физического объема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2.2. Валовой региональный продукт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13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Валовой региональный продукт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68842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63582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62359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66169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68685</w:t>
            </w:r>
          </w:p>
        </w:tc>
      </w:tr>
      <w:tr w:rsidR="00B32D39" w:rsidTr="00B32D39">
        <w:trPr>
          <w:trHeight w:val="15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 валового регионального продукта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B32D39" w:rsidTr="00B32D39">
        <w:trPr>
          <w:trHeight w:val="14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2.3. Промышленное производство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62112,1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58606,3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53830,3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52796,0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56123,8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52702,0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58372,0</w:t>
            </w:r>
          </w:p>
        </w:tc>
      </w:tr>
      <w:tr w:rsidR="00B32D39" w:rsidTr="00B32D39">
        <w:trPr>
          <w:trHeight w:val="97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144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23992,14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27188,46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27079,71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28874,14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28460,77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31126,33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31392,23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35266,13</w:t>
            </w:r>
          </w:p>
        </w:tc>
      </w:tr>
      <w:tr w:rsidR="00B32D39" w:rsidTr="00B32D39">
        <w:trPr>
          <w:trHeight w:val="116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113,3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Потребление электроэнергии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548,32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489,95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494,85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499,75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504,75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509,74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504,75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509,74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группам потребителей: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 потребители (бюджетные организации)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114,00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334,57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335,56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52,74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52,89</w:t>
            </w:r>
          </w:p>
        </w:tc>
      </w:tr>
      <w:tr w:rsidR="00B32D39" w:rsidTr="00B32D39">
        <w:trPr>
          <w:trHeight w:val="11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36,31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2.5. Сельское хозяйство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144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4883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5430</w:t>
            </w:r>
          </w:p>
        </w:tc>
      </w:tr>
      <w:tr w:rsidR="00B32D39" w:rsidTr="00B32D39">
        <w:trPr>
          <w:trHeight w:val="8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13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Растениеводство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3300</w:t>
            </w:r>
          </w:p>
        </w:tc>
      </w:tr>
      <w:tr w:rsidR="00B32D39" w:rsidTr="00B32D39">
        <w:trPr>
          <w:trHeight w:val="92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 продукции растениеводства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B32D39" w:rsidTr="00B32D39">
        <w:trPr>
          <w:trHeight w:val="13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2131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 продукции животноводства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2.6. Рыболовство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13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 по виду деятельности "Рыболовство и рыбоводство"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30326,0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24260,8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20136,5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20621,7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15404,4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16703,6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производства продукции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2.7. Лесозаготовительное производство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13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продукции лесозаготовок (Раздел D)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Индекс производства продукции лесозаготовок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2.8. Производство важнейших видов продукции в натуральном выражении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137,2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Мясо, включая субпродукты 1 категории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B32D39" w:rsidTr="00B32D39">
        <w:trPr>
          <w:trHeight w:val="43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Выработано электроэнергии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630,88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632,76</w:t>
            </w:r>
          </w:p>
        </w:tc>
      </w:tr>
      <w:tr w:rsidR="00B32D39" w:rsidTr="00B32D39">
        <w:trPr>
          <w:trHeight w:val="13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Рынок товаров и услуг,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6695,7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6561,8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6762,7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6299,3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5984,3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6828,9</w:t>
            </w:r>
          </w:p>
        </w:tc>
      </w:tr>
      <w:tr w:rsidR="00B32D39" w:rsidTr="00B32D39">
        <w:trPr>
          <w:trHeight w:val="43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B32D39" w:rsidTr="00B32D39">
        <w:trPr>
          <w:trHeight w:val="13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Оборот розничной торговли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6695,7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6561,8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6762,7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6299,3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6695,0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5984,3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6828,9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физического объема оборота розничной торговли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Малое предпринимательство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малых предприятий - всего по состоянию на конец года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32D39" w:rsidTr="00B32D39">
        <w:trPr>
          <w:trHeight w:val="6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том числе по видам экономической деятельности: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54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2D39" w:rsidTr="00B32D39">
        <w:trPr>
          <w:trHeight w:val="12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Среднесписочная численность работников (без внешних совместителей)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занятых на малых предприятиях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32D39" w:rsidTr="00B32D39">
        <w:trPr>
          <w:trHeight w:val="163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Оборот малых предприятий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3189,93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3221,51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3263,30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3350,37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3328,56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3484,39</w:t>
            </w:r>
          </w:p>
        </w:tc>
      </w:tr>
      <w:tr w:rsidR="00B32D39" w:rsidTr="00B32D39">
        <w:trPr>
          <w:trHeight w:val="82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производства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Инвестиции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13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 в основных ценах соответствующих лет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2D39" w:rsidTr="00B32D39">
        <w:trPr>
          <w:trHeight w:val="14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Индекс физического объема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Денежные доходы и расходы населения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21123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предпринимательской деятельности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13256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13256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выплаты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3617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и социальная помощь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доходы в расчете на душу населения в месяц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5211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 и сбережения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36576,4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45324,0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45799,8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46173,5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46358,3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47124,9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47052,2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47842,3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73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товаров и оплата услуг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19518,0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19811,0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20409,79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21099,11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21103,72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21816,48</w:t>
            </w:r>
          </w:p>
        </w:tc>
      </w:tr>
      <w:tr w:rsidR="00B32D39" w:rsidTr="00B32D39">
        <w:trPr>
          <w:trHeight w:val="6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платежи и разнообразные взносы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17058,4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25513,0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25948,51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26025,81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25948,51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26025,81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Превышение доходов над расходами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</w:rPr>
              <w:t>или расходов над доходами (-)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-19505,41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-25379,00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-25278,39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-25548,02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-25592,88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-26248,92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-26049,85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-26719,69</w:t>
            </w:r>
          </w:p>
        </w:tc>
      </w:tr>
      <w:tr w:rsidR="00B32D39" w:rsidTr="00B32D39">
        <w:trPr>
          <w:trHeight w:val="81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19242,00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19242,00</w:t>
            </w:r>
          </w:p>
        </w:tc>
      </w:tr>
      <w:tr w:rsidR="00B32D39" w:rsidTr="00B32D39">
        <w:trPr>
          <w:trHeight w:val="28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 Труд и занятость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 экономике (среднегодовая) - всего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фактической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B32D39" w:rsidTr="00B32D39">
        <w:trPr>
          <w:trHeight w:val="4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зарегистрированной безработицы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B32D39" w:rsidTr="00B32D39">
        <w:trPr>
          <w:trHeight w:val="11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 Развитие социальной сферы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Численность учащихся в учреждениях: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72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32D39" w:rsidTr="00B32D39">
        <w:trPr>
          <w:trHeight w:val="78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81,5</w:t>
            </w:r>
          </w:p>
        </w:tc>
      </w:tr>
      <w:tr w:rsidR="00B32D39" w:rsidTr="00B32D39">
        <w:trPr>
          <w:trHeight w:val="33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Обеспеченность: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средним медицинским персоналом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 на 1000 населения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D39" w:rsidTr="00B32D39">
        <w:trPr>
          <w:trHeight w:val="636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общедоступными  библиотеками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учреждениями культурно-досугового типа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32D39" w:rsidTr="00B32D39">
        <w:trPr>
          <w:trHeight w:val="55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общеобразовательными учреждениями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B32D39" w:rsidTr="00B32D39">
        <w:trPr>
          <w:trHeight w:val="82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пенсионеров, состоящих на учете в </w:t>
            </w:r>
            <w:proofErr w:type="spellStart"/>
            <w:r>
              <w:rPr>
                <w:rFonts w:ascii="Times New Roman" w:hAnsi="Times New Roman" w:cs="Times New Roman"/>
              </w:rPr>
              <w:t>пенионном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фонде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</w:tbl>
    <w:p w:rsidR="00B32D39" w:rsidRDefault="00B32D39" w:rsidP="00B32D39">
      <w:pPr>
        <w:tabs>
          <w:tab w:val="left" w:pos="1145"/>
        </w:tabs>
        <w:rPr>
          <w:rFonts w:ascii="Times New Roman" w:hAnsi="Times New Roman" w:cs="Times New Roman"/>
        </w:rPr>
      </w:pPr>
    </w:p>
    <w:p w:rsidR="002220C0" w:rsidRDefault="002220C0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D39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42" w:type="dxa"/>
        <w:tblInd w:w="93" w:type="dxa"/>
        <w:tblLook w:val="04A0" w:firstRow="1" w:lastRow="0" w:firstColumn="1" w:lastColumn="0" w:noHBand="0" w:noVBand="1"/>
      </w:tblPr>
      <w:tblGrid>
        <w:gridCol w:w="3843"/>
        <w:gridCol w:w="1984"/>
        <w:gridCol w:w="1418"/>
        <w:gridCol w:w="1134"/>
        <w:gridCol w:w="286"/>
        <w:gridCol w:w="1181"/>
        <w:gridCol w:w="1276"/>
        <w:gridCol w:w="576"/>
        <w:gridCol w:w="286"/>
        <w:gridCol w:w="1029"/>
        <w:gridCol w:w="1559"/>
        <w:gridCol w:w="1180"/>
        <w:gridCol w:w="490"/>
      </w:tblGrid>
      <w:tr w:rsidR="00B32D39" w:rsidTr="00B32D39">
        <w:trPr>
          <w:gridAfter w:val="1"/>
          <w:wAfter w:w="490" w:type="dxa"/>
          <w:trHeight w:val="348"/>
        </w:trPr>
        <w:tc>
          <w:tcPr>
            <w:tcW w:w="14572" w:type="dxa"/>
            <w:gridSpan w:val="11"/>
            <w:shd w:val="clear" w:color="auto" w:fill="FFFFFF"/>
            <w:noWrap/>
            <w:vAlign w:val="bottom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ИТОГИ</w:t>
            </w:r>
          </w:p>
        </w:tc>
        <w:tc>
          <w:tcPr>
            <w:tcW w:w="1180" w:type="dxa"/>
            <w:vAlign w:val="bottom"/>
          </w:tcPr>
          <w:p w:rsidR="00B32D39" w:rsidRDefault="00B32D3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2D39" w:rsidTr="00B32D39">
        <w:trPr>
          <w:gridAfter w:val="2"/>
          <w:wAfter w:w="1670" w:type="dxa"/>
          <w:trHeight w:val="322"/>
        </w:trPr>
        <w:tc>
          <w:tcPr>
            <w:tcW w:w="14572" w:type="dxa"/>
            <w:gridSpan w:val="11"/>
            <w:vMerge w:val="restart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сельского поселения "Село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уди" за 9 месяцев 2024 года</w:t>
            </w:r>
          </w:p>
        </w:tc>
      </w:tr>
      <w:tr w:rsidR="00B32D39" w:rsidTr="00B32D39">
        <w:trPr>
          <w:gridAfter w:val="2"/>
          <w:wAfter w:w="1670" w:type="dxa"/>
          <w:trHeight w:val="510"/>
        </w:trPr>
        <w:tc>
          <w:tcPr>
            <w:tcW w:w="14572" w:type="dxa"/>
            <w:gridSpan w:val="11"/>
            <w:vMerge/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D39" w:rsidTr="00B32D39">
        <w:trPr>
          <w:trHeight w:val="360"/>
        </w:trPr>
        <w:tc>
          <w:tcPr>
            <w:tcW w:w="3843" w:type="dxa"/>
            <w:vAlign w:val="center"/>
            <w:hideMark/>
          </w:tcPr>
          <w:p w:rsidR="00B32D39" w:rsidRDefault="00B32D39">
            <w:pPr>
              <w:spacing w:after="0"/>
              <w:rPr>
                <w:lang w:eastAsia="en-US"/>
              </w:rPr>
            </w:pPr>
          </w:p>
        </w:tc>
        <w:tc>
          <w:tcPr>
            <w:tcW w:w="1984" w:type="dxa"/>
            <w:vAlign w:val="center"/>
            <w:hideMark/>
          </w:tcPr>
          <w:p w:rsidR="00B32D39" w:rsidRDefault="00B32D39">
            <w:pPr>
              <w:spacing w:after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месяцев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B32D39" w:rsidTr="00B32D39">
        <w:trPr>
          <w:gridAfter w:val="2"/>
          <w:wAfter w:w="1670" w:type="dxa"/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</w:tr>
      <w:tr w:rsidR="00B32D39" w:rsidTr="00B32D39">
        <w:trPr>
          <w:gridAfter w:val="2"/>
          <w:wAfter w:w="1670" w:type="dxa"/>
          <w:trHeight w:val="11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B32D39" w:rsidTr="00B32D39">
        <w:trPr>
          <w:gridAfter w:val="2"/>
          <w:wAfter w:w="1670" w:type="dxa"/>
          <w:trHeight w:val="17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32D39" w:rsidTr="00B32D39">
        <w:trPr>
          <w:gridAfter w:val="2"/>
          <w:wAfter w:w="1670" w:type="dxa"/>
          <w:trHeight w:val="16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32D39" w:rsidTr="00B32D39">
        <w:trPr>
          <w:gridAfter w:val="2"/>
          <w:wAfter w:w="1670" w:type="dxa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Коэффициент естественного прироста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32D39" w:rsidTr="00B32D39">
        <w:trPr>
          <w:gridAfter w:val="2"/>
          <w:wAfter w:w="1670" w:type="dxa"/>
          <w:trHeight w:val="16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на 1 000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Производство товаров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Выпуск товаров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товаров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62438,0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46566,0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</w:tr>
      <w:tr w:rsidR="00B32D39" w:rsidTr="00B32D39">
        <w:trPr>
          <w:gridAfter w:val="2"/>
          <w:wAfter w:w="1670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Валовой региональный продукт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0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Валовой региональный продукт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62438,0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46566,0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</w:tr>
      <w:tr w:rsidR="00B32D39" w:rsidTr="00B32D39">
        <w:trPr>
          <w:gridAfter w:val="2"/>
          <w:wAfter w:w="1670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</w:tr>
      <w:tr w:rsidR="00B32D39" w:rsidTr="00B32D39">
        <w:trPr>
          <w:gridAfter w:val="2"/>
          <w:wAfter w:w="1670" w:type="dxa"/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Промышленное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52202,26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41175,855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39151,7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B32D39" w:rsidTr="00B32D39">
        <w:trPr>
          <w:gridAfter w:val="2"/>
          <w:wAfter w:w="1670" w:type="dxa"/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промышленного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23992,14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27188,46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20391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B32D39" w:rsidTr="00B32D39">
        <w:trPr>
          <w:gridAfter w:val="2"/>
          <w:wAfter w:w="1670" w:type="dxa"/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489,95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группам потребителей: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Базовые потребители (бюджетные организации)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328,95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</w:tr>
      <w:tr w:rsidR="00B32D39" w:rsidTr="00B32D39">
        <w:trPr>
          <w:gridAfter w:val="2"/>
          <w:wAfter w:w="1670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35,59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Сельское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продукции сельского хозяйства в хозяйствах всех категорий (Разделы ОКВЭД: 01.1+01.2+01.3)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</w:tr>
      <w:tr w:rsidR="00B32D39" w:rsidTr="00B32D39">
        <w:trPr>
          <w:gridAfter w:val="2"/>
          <w:wAfter w:w="1670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</w:tr>
      <w:tr w:rsidR="00B32D39" w:rsidTr="00B32D39">
        <w:trPr>
          <w:gridAfter w:val="2"/>
          <w:wAfter w:w="1670" w:type="dxa"/>
          <w:trHeight w:val="10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B32D39" w:rsidTr="00B32D39">
        <w:trPr>
          <w:gridAfter w:val="2"/>
          <w:wAfter w:w="1670" w:type="dxa"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</w:tr>
      <w:tr w:rsidR="00B32D39" w:rsidTr="00B32D39">
        <w:trPr>
          <w:gridAfter w:val="2"/>
          <w:wAfter w:w="1670" w:type="dxa"/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Рыболовство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организаций по виду деятельности "Рыболовство и рыбоводство"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24260,8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18196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32D39" w:rsidTr="00B32D39">
        <w:trPr>
          <w:gridAfter w:val="2"/>
          <w:wAfter w:w="1670" w:type="dxa"/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производства продукции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Лесозаготовительное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продукции лесозаготовок (Раздел D)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2D39" w:rsidTr="00B32D39">
        <w:trPr>
          <w:gridAfter w:val="2"/>
          <w:wAfter w:w="1670" w:type="dxa"/>
          <w:trHeight w:val="8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лесозаготовок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166,8</w:t>
            </w:r>
          </w:p>
        </w:tc>
      </w:tr>
      <w:tr w:rsidR="00B32D39" w:rsidTr="00B32D39">
        <w:trPr>
          <w:gridAfter w:val="2"/>
          <w:wAfter w:w="1670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2.8. Производство важнейших видов продукции в натуральном выражении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Мясо, включая субпродукты 1 категории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Выработано электроэнергии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кВт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465,2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</w:tr>
      <w:tr w:rsidR="00B32D39" w:rsidTr="00B32D39">
        <w:trPr>
          <w:gridAfter w:val="2"/>
          <w:wAfter w:w="1670" w:type="dxa"/>
          <w:trHeight w:val="10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Рынок товаров и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6695,70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5021,78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B32D39" w:rsidTr="00B32D39">
        <w:trPr>
          <w:gridAfter w:val="2"/>
          <w:wAfter w:w="1670" w:type="dxa"/>
          <w:trHeight w:val="10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</w:tr>
      <w:tr w:rsidR="00B32D39" w:rsidTr="00B32D39">
        <w:trPr>
          <w:gridAfter w:val="2"/>
          <w:wAfter w:w="1670" w:type="dxa"/>
          <w:trHeight w:val="10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6695,70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5021,78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B32D39" w:rsidTr="00B32D39">
        <w:trPr>
          <w:gridAfter w:val="2"/>
          <w:wAfter w:w="1670" w:type="dxa"/>
          <w:trHeight w:val="24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</w:tr>
      <w:tr w:rsidR="00B32D39" w:rsidTr="00B32D39">
        <w:trPr>
          <w:gridAfter w:val="2"/>
          <w:wAfter w:w="1670" w:type="dxa"/>
          <w:trHeight w:val="23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Малое предпринимательство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24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Количество малых предприятий - всего по состоянию на конец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22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9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19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Среднесписочная численность работников (без внешних совместителей)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занятых на малых предприятиях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B32D39" w:rsidTr="00B32D39">
        <w:trPr>
          <w:gridAfter w:val="2"/>
          <w:wAfter w:w="1670" w:type="dxa"/>
          <w:trHeight w:val="18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видам экономической деятельности: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7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G: Оптовая и розничная торговля; оказание бытовых услуг, сельхоз.,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охотохозяйственная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отрасль и прочие виды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B32D39" w:rsidTr="00B32D39">
        <w:trPr>
          <w:gridAfter w:val="2"/>
          <w:wAfter w:w="1670" w:type="dxa"/>
          <w:trHeight w:val="16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Оборот малых предприятий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B32D39" w:rsidTr="00B32D39">
        <w:trPr>
          <w:gridAfter w:val="2"/>
          <w:wAfter w:w="1670" w:type="dxa"/>
          <w:trHeight w:val="13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 в основных ценах соответствующих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2D39" w:rsidTr="00B32D39">
        <w:trPr>
          <w:gridAfter w:val="2"/>
          <w:wAfter w:w="1670" w:type="dxa"/>
          <w:trHeight w:val="7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Денежные доходы и расходы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Доходы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19945,00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14958,75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16073,00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1637,00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и социальная помощь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B32D39" w:rsidTr="00B32D39">
        <w:trPr>
          <w:gridAfter w:val="2"/>
          <w:wAfter w:w="1670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Реальные располагаемые денежные доходы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7240,09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5430,07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и сбережения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36576,41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45324,00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28553,45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33993,00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товаров и оплата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19811,00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14858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обязательные платежи и разнообразные взносы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25513,00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</w:tr>
      <w:tr w:rsidR="00B32D39" w:rsidTr="00B32D39">
        <w:trPr>
          <w:gridAfter w:val="2"/>
          <w:wAfter w:w="1670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 доходов над расходами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или расходов над доходами (-)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-19505,41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-25379,00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-19034,25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</w:tr>
      <w:tr w:rsidR="00B32D39" w:rsidTr="00B32D39">
        <w:trPr>
          <w:gridAfter w:val="2"/>
          <w:wAfter w:w="1670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19242,00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19242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Труд и занятость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экономике (среднегодовая)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безработицы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Развитие социальной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11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</w:tr>
      <w:tr w:rsidR="00B32D39" w:rsidTr="00B32D39">
        <w:trPr>
          <w:gridAfter w:val="2"/>
          <w:wAfter w:w="1670" w:type="dxa"/>
          <w:trHeight w:val="10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2D39" w:rsidTr="00B32D39">
        <w:trPr>
          <w:gridAfter w:val="2"/>
          <w:wAfter w:w="1670" w:type="dxa"/>
          <w:trHeight w:val="5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средним медицинским персоналом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3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2D39" w:rsidTr="00B32D39">
        <w:trPr>
          <w:gridAfter w:val="2"/>
          <w:wAfter w:w="1670" w:type="dxa"/>
          <w:trHeight w:val="8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2D39" w:rsidTr="00B32D39">
        <w:trPr>
          <w:gridAfter w:val="2"/>
          <w:wAfter w:w="1670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пенсионеров,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пенионном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2D39" w:rsidRDefault="00B3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B32D39" w:rsidRDefault="00B32D39" w:rsidP="00B32D39">
      <w:pPr>
        <w:rPr>
          <w:rFonts w:asciiTheme="minorHAnsi" w:hAnsiTheme="minorHAnsi" w:cstheme="minorBidi"/>
          <w:lang w:eastAsia="en-US"/>
        </w:rPr>
      </w:pPr>
    </w:p>
    <w:p w:rsidR="00B32D39" w:rsidRPr="00A51F2E" w:rsidRDefault="00B32D39" w:rsidP="00B32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2D39" w:rsidRPr="00A51F2E" w:rsidSect="00B32D3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2E"/>
    <w:rsid w:val="001300F4"/>
    <w:rsid w:val="0015182E"/>
    <w:rsid w:val="00181BC0"/>
    <w:rsid w:val="00200F72"/>
    <w:rsid w:val="002220C0"/>
    <w:rsid w:val="00256A67"/>
    <w:rsid w:val="002A4AA1"/>
    <w:rsid w:val="003374A4"/>
    <w:rsid w:val="003F0A5F"/>
    <w:rsid w:val="00437E40"/>
    <w:rsid w:val="004D2B7C"/>
    <w:rsid w:val="00560BF7"/>
    <w:rsid w:val="006F78DF"/>
    <w:rsid w:val="008A3AB4"/>
    <w:rsid w:val="008F3CE9"/>
    <w:rsid w:val="00A51F2E"/>
    <w:rsid w:val="00B32D39"/>
    <w:rsid w:val="00B94BFF"/>
    <w:rsid w:val="00D449CF"/>
    <w:rsid w:val="00E97287"/>
    <w:rsid w:val="00F2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2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F2E"/>
    <w:rPr>
      <w:rFonts w:eastAsia="Times New Roman"/>
      <w:sz w:val="22"/>
      <w:szCs w:val="22"/>
    </w:rPr>
  </w:style>
  <w:style w:type="paragraph" w:styleId="a4">
    <w:name w:val="Body Text"/>
    <w:aliases w:val="bt"/>
    <w:basedOn w:val="a"/>
    <w:link w:val="a5"/>
    <w:uiPriority w:val="99"/>
    <w:rsid w:val="00B94BFF"/>
    <w:pPr>
      <w:spacing w:after="0" w:line="24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aliases w:val="bt Знак"/>
    <w:link w:val="a4"/>
    <w:uiPriority w:val="99"/>
    <w:rsid w:val="00B94BFF"/>
    <w:rPr>
      <w:rFonts w:ascii="Calibri" w:eastAsia="Times New Roman" w:hAnsi="Calibri" w:cs="Calibri"/>
      <w:sz w:val="28"/>
      <w:szCs w:val="28"/>
      <w:lang w:eastAsia="ru-RU"/>
    </w:rPr>
  </w:style>
  <w:style w:type="character" w:styleId="a6">
    <w:name w:val="Hyperlink"/>
    <w:uiPriority w:val="99"/>
    <w:rsid w:val="00B94BFF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B94BF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9">
    <w:name w:val="xl6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0">
    <w:name w:val="xl7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1">
    <w:name w:val="xl7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2">
    <w:name w:val="xl7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3">
    <w:name w:val="xl73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94BFF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94BF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6">
    <w:name w:val="xl8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93">
    <w:name w:val="xl9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5">
    <w:name w:val="xl9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6">
    <w:name w:val="xl9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7">
    <w:name w:val="xl9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8">
    <w:name w:val="xl9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9">
    <w:name w:val="xl10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2">
    <w:name w:val="xl11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3">
    <w:name w:val="xl11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4">
    <w:name w:val="xl11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5">
    <w:name w:val="xl11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118">
    <w:name w:val="xl118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B94BFF"/>
    <w:pP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a8">
    <w:name w:val="Стиль"/>
    <w:uiPriority w:val="99"/>
    <w:rsid w:val="00B94B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B94BFF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customStyle="1" w:styleId="21">
    <w:name w:val="Основной текст 21"/>
    <w:basedOn w:val="a"/>
    <w:uiPriority w:val="99"/>
    <w:rsid w:val="00B94BFF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B94BF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B94BFF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unhideWhenUsed/>
    <w:rsid w:val="00B94B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сновной текст с отступом 2"/>
    <w:basedOn w:val="a"/>
    <w:uiPriority w:val="99"/>
    <w:rsid w:val="00B94BFF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xl123">
    <w:name w:val="xl123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B94BF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437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437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1">
    <w:name w:val="Основной текст Знак1"/>
    <w:aliases w:val="bt Знак1"/>
    <w:uiPriority w:val="99"/>
    <w:semiHidden/>
    <w:rsid w:val="00F220CF"/>
    <w:rPr>
      <w:rFonts w:eastAsia="Times New Roman" w:cs="Calibri"/>
      <w:sz w:val="22"/>
      <w:szCs w:val="22"/>
    </w:rPr>
  </w:style>
  <w:style w:type="paragraph" w:customStyle="1" w:styleId="font5">
    <w:name w:val="font5"/>
    <w:basedOn w:val="a"/>
    <w:rsid w:val="00B32D3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B32D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B32D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32D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B32D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32D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2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F2E"/>
    <w:rPr>
      <w:rFonts w:eastAsia="Times New Roman"/>
      <w:sz w:val="22"/>
      <w:szCs w:val="22"/>
    </w:rPr>
  </w:style>
  <w:style w:type="paragraph" w:styleId="a4">
    <w:name w:val="Body Text"/>
    <w:aliases w:val="bt"/>
    <w:basedOn w:val="a"/>
    <w:link w:val="a5"/>
    <w:uiPriority w:val="99"/>
    <w:rsid w:val="00B94BFF"/>
    <w:pPr>
      <w:spacing w:after="0" w:line="24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aliases w:val="bt Знак"/>
    <w:link w:val="a4"/>
    <w:uiPriority w:val="99"/>
    <w:rsid w:val="00B94BFF"/>
    <w:rPr>
      <w:rFonts w:ascii="Calibri" w:eastAsia="Times New Roman" w:hAnsi="Calibri" w:cs="Calibri"/>
      <w:sz w:val="28"/>
      <w:szCs w:val="28"/>
      <w:lang w:eastAsia="ru-RU"/>
    </w:rPr>
  </w:style>
  <w:style w:type="character" w:styleId="a6">
    <w:name w:val="Hyperlink"/>
    <w:uiPriority w:val="99"/>
    <w:rsid w:val="00B94BFF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B94BFF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9">
    <w:name w:val="xl6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0">
    <w:name w:val="xl7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1">
    <w:name w:val="xl7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2">
    <w:name w:val="xl7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3">
    <w:name w:val="xl73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94BFF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94BF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86">
    <w:name w:val="xl8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93">
    <w:name w:val="xl9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5">
    <w:name w:val="xl9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6">
    <w:name w:val="xl9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7">
    <w:name w:val="xl9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98">
    <w:name w:val="xl9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09">
    <w:name w:val="xl109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2">
    <w:name w:val="xl112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3">
    <w:name w:val="xl113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4">
    <w:name w:val="xl114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115">
    <w:name w:val="xl115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9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color w:val="FFFFFF"/>
      <w:sz w:val="20"/>
      <w:szCs w:val="20"/>
    </w:rPr>
  </w:style>
  <w:style w:type="paragraph" w:customStyle="1" w:styleId="xl118">
    <w:name w:val="xl118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B94BFF"/>
    <w:pPr>
      <w:spacing w:before="100" w:beforeAutospacing="1" w:after="100" w:afterAutospacing="1" w:line="240" w:lineRule="auto"/>
      <w:jc w:val="center"/>
    </w:pPr>
    <w:rPr>
      <w:b/>
      <w:bCs/>
      <w:sz w:val="28"/>
      <w:szCs w:val="28"/>
    </w:rPr>
  </w:style>
  <w:style w:type="paragraph" w:customStyle="1" w:styleId="a8">
    <w:name w:val="Стиль"/>
    <w:uiPriority w:val="99"/>
    <w:rsid w:val="00B94B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B94BFF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customStyle="1" w:styleId="21">
    <w:name w:val="Основной текст 21"/>
    <w:basedOn w:val="a"/>
    <w:uiPriority w:val="99"/>
    <w:rsid w:val="00B94BFF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B94BF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B94BFF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unhideWhenUsed/>
    <w:rsid w:val="00B94B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сновной текст с отступом 2"/>
    <w:basedOn w:val="a"/>
    <w:uiPriority w:val="99"/>
    <w:rsid w:val="00B94BFF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6"/>
      <w:szCs w:val="20"/>
    </w:rPr>
  </w:style>
  <w:style w:type="paragraph" w:customStyle="1" w:styleId="xl123">
    <w:name w:val="xl123"/>
    <w:basedOn w:val="a"/>
    <w:rsid w:val="00B94B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B94B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B94B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B94BF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437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437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1">
    <w:name w:val="Основной текст Знак1"/>
    <w:aliases w:val="bt Знак1"/>
    <w:uiPriority w:val="99"/>
    <w:semiHidden/>
    <w:rsid w:val="00F220CF"/>
    <w:rPr>
      <w:rFonts w:eastAsia="Times New Roman" w:cs="Calibri"/>
      <w:sz w:val="22"/>
      <w:szCs w:val="22"/>
    </w:rPr>
  </w:style>
  <w:style w:type="paragraph" w:customStyle="1" w:styleId="font5">
    <w:name w:val="font5"/>
    <w:basedOn w:val="a"/>
    <w:rsid w:val="00B32D3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B32D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B32D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32D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B32D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32D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4</cp:revision>
  <dcterms:created xsi:type="dcterms:W3CDTF">2024-10-29T23:24:00Z</dcterms:created>
  <dcterms:modified xsi:type="dcterms:W3CDTF">2024-10-30T01:41:00Z</dcterms:modified>
</cp:coreProperties>
</file>